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F667C2" w:rsidRPr="00302C1A" w14:paraId="4E17CA69" w14:textId="77777777" w:rsidTr="00620BF0">
        <w:tc>
          <w:tcPr>
            <w:tcW w:w="4820" w:type="dxa"/>
          </w:tcPr>
          <w:p w14:paraId="7B19AE0A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  <w:r w:rsidRPr="00302C1A">
              <w:rPr>
                <w:rFonts w:ascii="PT Astra Serif" w:hAnsi="PT Astra Serif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4834DF38" wp14:editId="2F64526C">
                  <wp:simplePos x="0" y="0"/>
                  <wp:positionH relativeFrom="page">
                    <wp:posOffset>1260617</wp:posOffset>
                  </wp:positionH>
                  <wp:positionV relativeFrom="page">
                    <wp:posOffset>35115</wp:posOffset>
                  </wp:positionV>
                  <wp:extent cx="680085" cy="855345"/>
                  <wp:effectExtent l="0" t="0" r="5715" b="190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5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36AE58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</w:p>
          <w:p w14:paraId="03CB316D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</w:p>
          <w:p w14:paraId="2533D2B4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</w:p>
          <w:p w14:paraId="50270E65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</w:p>
          <w:p w14:paraId="05600BB7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</w:p>
          <w:p w14:paraId="50AE28D9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14:paraId="4461DD9B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14:paraId="797F55CD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14:paraId="250B9927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0"/>
                <w:szCs w:val="10"/>
              </w:rPr>
            </w:pPr>
          </w:p>
          <w:p w14:paraId="48FF346D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b/>
                <w:color w:val="0000FF"/>
                <w:sz w:val="20"/>
                <w:szCs w:val="20"/>
              </w:rPr>
            </w:pPr>
            <w:r w:rsidRPr="00302C1A">
              <w:rPr>
                <w:rFonts w:ascii="PT Astra Serif" w:hAnsi="PT Astra Serif" w:cs="Times New Roman"/>
                <w:b/>
                <w:color w:val="0000FF"/>
                <w:sz w:val="20"/>
                <w:szCs w:val="20"/>
              </w:rPr>
              <w:t xml:space="preserve">ГЛАВА </w:t>
            </w:r>
          </w:p>
          <w:p w14:paraId="018B097A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b/>
                <w:color w:val="0000FF"/>
                <w:sz w:val="20"/>
                <w:szCs w:val="20"/>
              </w:rPr>
            </w:pPr>
            <w:r w:rsidRPr="00302C1A">
              <w:rPr>
                <w:rFonts w:ascii="PT Astra Serif" w:hAnsi="PT Astra Serif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14:paraId="4DF7328F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0"/>
                <w:szCs w:val="10"/>
              </w:rPr>
            </w:pPr>
          </w:p>
          <w:p w14:paraId="1F5B7C5B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14:paraId="13BE7D49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 xml:space="preserve">Ханты-Мансийский автономный округ – Югра </w:t>
            </w:r>
          </w:p>
          <w:p w14:paraId="0DD92547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(Тюменская обл.), 628002</w:t>
            </w:r>
          </w:p>
          <w:p w14:paraId="5E77BA68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тел.: (3467) 35-28-00</w:t>
            </w:r>
          </w:p>
          <w:p w14:paraId="323708AA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факс: (3467) 35-28-09</w:t>
            </w:r>
          </w:p>
          <w:p w14:paraId="04543648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-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: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office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@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.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ru</w:t>
            </w:r>
          </w:p>
          <w:p w14:paraId="2DB31770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D9D9D9" w:themeColor="background1" w:themeShade="D9"/>
                <w:sz w:val="24"/>
                <w:szCs w:val="24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http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: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www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.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.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ru</w:t>
            </w:r>
          </w:p>
        </w:tc>
        <w:tc>
          <w:tcPr>
            <w:tcW w:w="4820" w:type="dxa"/>
          </w:tcPr>
          <w:p w14:paraId="4A96EEC4" w14:textId="77777777" w:rsidR="00F667C2" w:rsidRPr="00302C1A" w:rsidRDefault="00F667C2" w:rsidP="00620BF0">
            <w:pPr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14:paraId="1B52AF32" w14:textId="77777777" w:rsidR="00F667C2" w:rsidRPr="00302C1A" w:rsidRDefault="00F667C2" w:rsidP="00620BF0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01BCEF4C" w14:textId="54A497AF" w:rsidR="00177A78" w:rsidRPr="00302C1A" w:rsidRDefault="00177A78" w:rsidP="003C6F31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</w:rPr>
      </w:pPr>
    </w:p>
    <w:p w14:paraId="495BF801" w14:textId="684619A0" w:rsidR="005307E4" w:rsidRPr="00302C1A" w:rsidRDefault="005307E4" w:rsidP="003C6F31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</w:rPr>
      </w:pPr>
    </w:p>
    <w:p w14:paraId="2D4DA712" w14:textId="77777777" w:rsidR="006875CC" w:rsidRPr="00302C1A" w:rsidRDefault="006875CC" w:rsidP="006875C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02C1A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14:paraId="170F2EFD" w14:textId="77777777" w:rsidR="006875CC" w:rsidRPr="00302C1A" w:rsidRDefault="006875CC" w:rsidP="006875C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02C1A">
        <w:rPr>
          <w:rFonts w:ascii="PT Astra Serif" w:hAnsi="PT Astra Serif"/>
          <w:b/>
          <w:sz w:val="28"/>
          <w:szCs w:val="28"/>
        </w:rPr>
        <w:t>к проекту решения Думы Ханты-Мансийского района</w:t>
      </w:r>
    </w:p>
    <w:p w14:paraId="25F38D6E" w14:textId="1C8D98BB" w:rsidR="006875CC" w:rsidRPr="00302C1A" w:rsidRDefault="006F6C57" w:rsidP="006875CC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02C1A">
        <w:rPr>
          <w:rFonts w:ascii="PT Astra Serif" w:hAnsi="PT Astra Serif"/>
          <w:b/>
          <w:color w:val="000000"/>
          <w:sz w:val="28"/>
          <w:szCs w:val="28"/>
        </w:rPr>
        <w:t>об итогах реализации муниципальной программы «Развитие информационного общества Ханты-Мансийского района на 2019-2023 годы» за 2021 год</w:t>
      </w:r>
      <w:r w:rsidR="006875CC" w:rsidRPr="00302C1A">
        <w:rPr>
          <w:rFonts w:ascii="PT Astra Serif" w:hAnsi="PT Astra Serif"/>
          <w:b/>
          <w:color w:val="000000"/>
          <w:sz w:val="28"/>
          <w:szCs w:val="28"/>
        </w:rPr>
        <w:t>.</w:t>
      </w:r>
    </w:p>
    <w:p w14:paraId="0B85800B" w14:textId="77777777" w:rsidR="006875CC" w:rsidRPr="00302C1A" w:rsidRDefault="006875CC" w:rsidP="006875CC">
      <w:pPr>
        <w:spacing w:after="0" w:line="240" w:lineRule="auto"/>
        <w:jc w:val="center"/>
        <w:rPr>
          <w:rFonts w:ascii="PT Astra Serif" w:hAnsi="PT Astra Serif"/>
          <w:i/>
          <w:color w:val="000000"/>
          <w:szCs w:val="28"/>
        </w:rPr>
      </w:pPr>
      <w:r w:rsidRPr="00302C1A">
        <w:rPr>
          <w:rFonts w:ascii="PT Astra Serif" w:hAnsi="PT Astra Serif"/>
          <w:i/>
          <w:color w:val="000000"/>
          <w:szCs w:val="28"/>
        </w:rPr>
        <w:t xml:space="preserve"> </w:t>
      </w:r>
    </w:p>
    <w:p w14:paraId="1B8DD9A0" w14:textId="26401E64" w:rsidR="006875CC" w:rsidRPr="00C712CA" w:rsidRDefault="006875CC" w:rsidP="006875C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Проект решения Думы Ханты-Мансийского района «</w:t>
      </w:r>
      <w:r w:rsidR="00006167" w:rsidRPr="00302C1A">
        <w:rPr>
          <w:rFonts w:ascii="PT Astra Serif" w:hAnsi="PT Astra Serif" w:cs="Times New Roman"/>
          <w:sz w:val="28"/>
          <w:szCs w:val="28"/>
        </w:rPr>
        <w:t>О ходе реализации муниципальной программы Ханты-Мансийского района «Развитие цифрового общества Ханты-Мансийского района на 2022 – 2024 годы» за 9 месяцев 2022 года по состоянию на 1 октября 2022 года</w:t>
      </w:r>
      <w:r w:rsidR="006F6C57" w:rsidRPr="00302C1A">
        <w:rPr>
          <w:rFonts w:ascii="PT Astra Serif" w:hAnsi="PT Astra Serif" w:cs="Times New Roman"/>
          <w:bCs/>
          <w:iCs/>
          <w:sz w:val="28"/>
          <w:szCs w:val="28"/>
        </w:rPr>
        <w:t xml:space="preserve"> </w:t>
      </w:r>
      <w:r w:rsidRPr="00302C1A">
        <w:rPr>
          <w:rFonts w:ascii="PT Astra Serif" w:hAnsi="PT Astra Serif" w:cs="Times New Roman"/>
          <w:bCs/>
          <w:iCs/>
          <w:sz w:val="28"/>
          <w:szCs w:val="28"/>
        </w:rPr>
        <w:t xml:space="preserve">(далее – </w:t>
      </w:r>
      <w:r w:rsidRPr="00C712CA">
        <w:rPr>
          <w:rFonts w:ascii="PT Astra Serif" w:hAnsi="PT Astra Serif" w:cs="Times New Roman"/>
          <w:sz w:val="28"/>
          <w:szCs w:val="28"/>
        </w:rPr>
        <w:t xml:space="preserve">Проект решения) подготовлен </w:t>
      </w:r>
      <w:r w:rsidR="0079598D" w:rsidRPr="00C712CA">
        <w:rPr>
          <w:rFonts w:ascii="PT Astra Serif" w:hAnsi="PT Astra Serif" w:cs="Times New Roman"/>
          <w:sz w:val="28"/>
          <w:szCs w:val="28"/>
        </w:rPr>
        <w:t xml:space="preserve">в соответствии с решением </w:t>
      </w:r>
      <w:r w:rsidR="00720FEC" w:rsidRPr="00C712CA">
        <w:rPr>
          <w:rFonts w:ascii="PT Astra Serif" w:hAnsi="PT Astra Serif" w:cs="Times New Roman"/>
          <w:sz w:val="28"/>
          <w:szCs w:val="28"/>
        </w:rPr>
        <w:t xml:space="preserve">Думы Ханты-Мансийского района </w:t>
      </w:r>
      <w:r w:rsidRPr="00C712CA">
        <w:rPr>
          <w:rFonts w:ascii="PT Astra Serif" w:hAnsi="PT Astra Serif" w:cs="Times New Roman"/>
          <w:sz w:val="28"/>
          <w:szCs w:val="28"/>
        </w:rPr>
        <w:t xml:space="preserve">от </w:t>
      </w:r>
      <w:r w:rsidR="0079598D" w:rsidRPr="00C712CA">
        <w:rPr>
          <w:rFonts w:ascii="PT Astra Serif" w:hAnsi="PT Astra Serif" w:cs="Times New Roman"/>
          <w:sz w:val="28"/>
          <w:szCs w:val="28"/>
        </w:rPr>
        <w:t>08</w:t>
      </w:r>
      <w:r w:rsidRPr="00C712CA">
        <w:rPr>
          <w:rFonts w:ascii="PT Astra Serif" w:hAnsi="PT Astra Serif" w:cs="Times New Roman"/>
          <w:sz w:val="28"/>
          <w:szCs w:val="28"/>
        </w:rPr>
        <w:t>.</w:t>
      </w:r>
      <w:r w:rsidR="0079598D" w:rsidRPr="00C712CA">
        <w:rPr>
          <w:rFonts w:ascii="PT Astra Serif" w:hAnsi="PT Astra Serif" w:cs="Times New Roman"/>
          <w:sz w:val="28"/>
          <w:szCs w:val="28"/>
        </w:rPr>
        <w:t>12</w:t>
      </w:r>
      <w:r w:rsidRPr="00C712CA">
        <w:rPr>
          <w:rFonts w:ascii="PT Astra Serif" w:hAnsi="PT Astra Serif" w:cs="Times New Roman"/>
          <w:sz w:val="28"/>
          <w:szCs w:val="28"/>
        </w:rPr>
        <w:t>.202</w:t>
      </w:r>
      <w:r w:rsidR="00720FEC" w:rsidRPr="00C712CA">
        <w:rPr>
          <w:rFonts w:ascii="PT Astra Serif" w:hAnsi="PT Astra Serif" w:cs="Times New Roman"/>
          <w:sz w:val="28"/>
          <w:szCs w:val="28"/>
        </w:rPr>
        <w:t>1</w:t>
      </w:r>
      <w:r w:rsidRPr="00C712CA">
        <w:rPr>
          <w:rFonts w:ascii="PT Astra Serif" w:hAnsi="PT Astra Serif" w:cs="Times New Roman"/>
          <w:sz w:val="28"/>
          <w:szCs w:val="28"/>
        </w:rPr>
        <w:t xml:space="preserve"> № </w:t>
      </w:r>
      <w:r w:rsidR="0079598D" w:rsidRPr="00C712CA">
        <w:rPr>
          <w:rFonts w:ascii="PT Astra Serif" w:hAnsi="PT Astra Serif" w:cs="Times New Roman"/>
          <w:sz w:val="28"/>
          <w:szCs w:val="28"/>
        </w:rPr>
        <w:t>30</w:t>
      </w:r>
      <w:r w:rsidRPr="00C712CA">
        <w:rPr>
          <w:rFonts w:ascii="PT Astra Serif" w:hAnsi="PT Astra Serif" w:cs="Times New Roman"/>
          <w:sz w:val="28"/>
          <w:szCs w:val="28"/>
        </w:rPr>
        <w:t xml:space="preserve"> «</w:t>
      </w:r>
      <w:r w:rsidR="0079598D" w:rsidRPr="00C712CA">
        <w:rPr>
          <w:rFonts w:ascii="PT Astra Serif" w:hAnsi="PT Astra Serif" w:cs="Times New Roman"/>
          <w:sz w:val="28"/>
          <w:szCs w:val="28"/>
        </w:rPr>
        <w:t xml:space="preserve">Об утверждении плана работы </w:t>
      </w:r>
      <w:r w:rsidRPr="00C712CA">
        <w:rPr>
          <w:rFonts w:ascii="PT Astra Serif" w:hAnsi="PT Astra Serif" w:cs="Times New Roman"/>
          <w:sz w:val="28"/>
          <w:szCs w:val="28"/>
        </w:rPr>
        <w:t xml:space="preserve">Думы Ханты-Мансийского района </w:t>
      </w:r>
      <w:r w:rsidR="00C712CA" w:rsidRPr="00C712CA">
        <w:rPr>
          <w:rFonts w:ascii="PT Astra Serif" w:hAnsi="PT Astra Serif" w:cs="Times New Roman"/>
          <w:sz w:val="28"/>
          <w:szCs w:val="28"/>
        </w:rPr>
        <w:t>на 2022 год</w:t>
      </w:r>
      <w:r w:rsidRPr="00C712CA">
        <w:rPr>
          <w:rFonts w:ascii="PT Astra Serif" w:hAnsi="PT Astra Serif" w:cs="Times New Roman"/>
          <w:sz w:val="28"/>
          <w:szCs w:val="28"/>
        </w:rPr>
        <w:t>».</w:t>
      </w:r>
    </w:p>
    <w:p w14:paraId="67928CA0" w14:textId="211EB612" w:rsidR="00720FEC" w:rsidRPr="00302C1A" w:rsidRDefault="00720FEC" w:rsidP="00720FE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Муниципальная программа «</w:t>
      </w:r>
      <w:r w:rsidR="00006167" w:rsidRPr="00302C1A">
        <w:rPr>
          <w:rFonts w:ascii="PT Astra Serif" w:hAnsi="PT Astra Serif" w:cs="Times New Roman"/>
          <w:sz w:val="28"/>
          <w:szCs w:val="28"/>
        </w:rPr>
        <w:t>Развитие цифрового общества Ханты-Мансийского района на 2022 – 2024 годы</w:t>
      </w:r>
      <w:r w:rsidRPr="00302C1A">
        <w:rPr>
          <w:rFonts w:ascii="PT Astra Serif" w:hAnsi="PT Astra Serif" w:cs="Times New Roman"/>
          <w:bCs/>
          <w:iCs/>
          <w:sz w:val="28"/>
          <w:szCs w:val="28"/>
        </w:rPr>
        <w:t xml:space="preserve">» (далее – Программа) </w:t>
      </w:r>
      <w:r w:rsidR="00006167" w:rsidRPr="00302C1A">
        <w:rPr>
          <w:rFonts w:ascii="PT Astra Serif" w:hAnsi="PT Astra Serif" w:cs="Times New Roman"/>
          <w:bCs/>
          <w:iCs/>
          <w:sz w:val="28"/>
          <w:szCs w:val="28"/>
        </w:rPr>
        <w:t>утверждена постановлением администрации Ханты-Мансийского района от 23.11.2021 № 295.</w:t>
      </w:r>
    </w:p>
    <w:p w14:paraId="40C25A7C" w14:textId="77777777" w:rsidR="00006167" w:rsidRPr="00302C1A" w:rsidRDefault="00006167" w:rsidP="0000616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 xml:space="preserve">Мероприятия Программы направлены на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районе. </w:t>
      </w:r>
    </w:p>
    <w:p w14:paraId="7B1629E0" w14:textId="77777777" w:rsidR="00006167" w:rsidRPr="00302C1A" w:rsidRDefault="00006167" w:rsidP="0000616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Программа осуществляется путем решения следующих задач:</w:t>
      </w:r>
    </w:p>
    <w:p w14:paraId="1C51669F" w14:textId="77777777" w:rsidR="00006167" w:rsidRPr="00302C1A" w:rsidRDefault="00006167" w:rsidP="0000616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развитие цифрового общества и электронного муниципалитета Ханты-Мансийского района;</w:t>
      </w:r>
    </w:p>
    <w:p w14:paraId="79DA9921" w14:textId="77777777" w:rsidR="00006167" w:rsidRPr="00302C1A" w:rsidRDefault="00006167" w:rsidP="0000616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повышение качества предоставления государственных и муниципальных услуг;</w:t>
      </w:r>
    </w:p>
    <w:p w14:paraId="04D6D815" w14:textId="77777777" w:rsidR="00006167" w:rsidRPr="00302C1A" w:rsidRDefault="00006167" w:rsidP="0000616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обеспечение функционирования систем управления и мониторинга информационной безопасности органов администрации Ханты-Мансийского района.</w:t>
      </w:r>
    </w:p>
    <w:p w14:paraId="31D724E3" w14:textId="1D11FB52" w:rsidR="00720FEC" w:rsidRPr="00302C1A" w:rsidRDefault="00006167" w:rsidP="0000616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lastRenderedPageBreak/>
        <w:t>Объем финансирования Программы на 2022 год из бюджета района составил 4968,30 тыс. рублей, в ходе реализации мероприятий Программы за 9 месяцев 2022 года по состоянию на 1 октября 2022 года исполнение составило 1272,41 тыс. руб.  или 26 % от годового плана.</w:t>
      </w:r>
      <w:r w:rsidR="00720FEC" w:rsidRPr="00302C1A">
        <w:rPr>
          <w:rFonts w:ascii="PT Astra Serif" w:hAnsi="PT Astra Serif" w:cs="Times New Roman"/>
          <w:bCs/>
          <w:iCs/>
          <w:sz w:val="28"/>
          <w:szCs w:val="28"/>
        </w:rPr>
        <w:t xml:space="preserve"> </w:t>
      </w:r>
    </w:p>
    <w:p w14:paraId="25AEF095" w14:textId="77777777" w:rsidR="00720FEC" w:rsidRPr="00302C1A" w:rsidRDefault="00720FEC" w:rsidP="00720FE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Основные результаты реализации Программы за отчетный период:</w:t>
      </w:r>
    </w:p>
    <w:p w14:paraId="272E38DA" w14:textId="77777777" w:rsidR="00006167" w:rsidRPr="00302C1A" w:rsidRDefault="00006167" w:rsidP="00302C1A">
      <w:pPr>
        <w:pStyle w:val="af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 мероприятию «Развитие и сопровождение инфраструктуры цифрового  муниципалитета и информационных систем»</w:t>
      </w:r>
    </w:p>
    <w:p w14:paraId="3347C462" w14:textId="77777777" w:rsidR="00006167" w:rsidRPr="00302C1A" w:rsidRDefault="00006167" w:rsidP="00302C1A">
      <w:pPr>
        <w:spacing w:after="0" w:line="240" w:lineRule="auto"/>
        <w:ind w:left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На реализацию данного мероприятия в 2022 году предусмотрены средства бюджета района в объеме 307,74 тыс. рублей.</w:t>
      </w:r>
    </w:p>
    <w:p w14:paraId="589B8211" w14:textId="77777777" w:rsidR="00006167" w:rsidRPr="00302C1A" w:rsidRDefault="00006167" w:rsidP="00302C1A">
      <w:pPr>
        <w:spacing w:after="0" w:line="240" w:lineRule="auto"/>
        <w:ind w:left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 xml:space="preserve">По состоянию на 1 октября 2022 года финансовое исполнение составило 152,78 тыс. руб.  или 50% </w:t>
      </w:r>
    </w:p>
    <w:p w14:paraId="121CF332" w14:textId="77777777" w:rsidR="00006167" w:rsidRPr="00302C1A" w:rsidRDefault="00006167" w:rsidP="00302C1A">
      <w:pPr>
        <w:pStyle w:val="af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 мероприятию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экономике».</w:t>
      </w:r>
    </w:p>
    <w:p w14:paraId="7BAA76D7" w14:textId="77777777" w:rsidR="00006167" w:rsidRPr="00302C1A" w:rsidRDefault="00006167" w:rsidP="00302C1A">
      <w:pPr>
        <w:spacing w:after="0" w:line="240" w:lineRule="auto"/>
        <w:ind w:left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На реализацию данного мероприятия в 2022 году предусмотрены средства бюджета района в объеме 82,50</w:t>
      </w:r>
      <w:r w:rsidRPr="00302C1A">
        <w:rPr>
          <w:rFonts w:ascii="PT Astra Serif" w:hAnsi="PT Astra Serif" w:cs="Times New Roman"/>
          <w:bCs/>
          <w:iCs/>
          <w:sz w:val="28"/>
          <w:szCs w:val="28"/>
        </w:rPr>
        <w:tab/>
        <w:t>тыс. рублей.</w:t>
      </w:r>
    </w:p>
    <w:p w14:paraId="3ECBF1AE" w14:textId="77777777" w:rsidR="00006167" w:rsidRPr="00302C1A" w:rsidRDefault="00006167" w:rsidP="00302C1A">
      <w:pPr>
        <w:spacing w:after="0" w:line="240" w:lineRule="auto"/>
        <w:ind w:left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 состоянию на 1 октября 2022 года финансовое исполнение составило 0. руб.  или 0%.</w:t>
      </w:r>
    </w:p>
    <w:p w14:paraId="4D3C0E9D" w14:textId="77777777" w:rsidR="00302C1A" w:rsidRPr="00302C1A" w:rsidRDefault="00302C1A" w:rsidP="00302C1A">
      <w:pPr>
        <w:pStyle w:val="af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 мероприятию «Обеспечение безопасности информации в корпоративной сети органов администрации Ханты-Мансийского района».</w:t>
      </w:r>
    </w:p>
    <w:p w14:paraId="1409894F" w14:textId="77777777" w:rsidR="00302C1A" w:rsidRPr="00302C1A" w:rsidRDefault="00302C1A" w:rsidP="00302C1A">
      <w:pPr>
        <w:spacing w:after="0" w:line="240" w:lineRule="auto"/>
        <w:ind w:left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 xml:space="preserve">На реализацию данного мероприятия в 2022 году предусмотрены средства бюджета района в объеме 4578,06 тыс. рублей. </w:t>
      </w:r>
    </w:p>
    <w:p w14:paraId="1450C1F0" w14:textId="78A31615" w:rsidR="00302C1A" w:rsidRPr="00302C1A" w:rsidRDefault="00302C1A" w:rsidP="00302C1A">
      <w:pPr>
        <w:spacing w:after="0" w:line="240" w:lineRule="auto"/>
        <w:ind w:left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 состоянию на 1 октября 2022 года финансовое исполнение составило 1119,63 тыс. руб.  или 24%.</w:t>
      </w:r>
    </w:p>
    <w:p w14:paraId="23932016" w14:textId="77777777" w:rsidR="00302C1A" w:rsidRPr="00302C1A" w:rsidRDefault="00302C1A" w:rsidP="00302C1A">
      <w:pPr>
        <w:spacing w:after="0" w:line="240" w:lineRule="auto"/>
        <w:jc w:val="both"/>
        <w:rPr>
          <w:rFonts w:ascii="PT Astra Serif" w:hAnsi="PT Astra Serif" w:cs="Times New Roman"/>
          <w:bCs/>
          <w:iCs/>
          <w:sz w:val="28"/>
          <w:szCs w:val="28"/>
        </w:rPr>
      </w:pPr>
    </w:p>
    <w:p w14:paraId="3E1A581E" w14:textId="3DD3925F" w:rsidR="0019218A" w:rsidRPr="00302C1A" w:rsidRDefault="0019218A" w:rsidP="00302C1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Анализ показателей эффективности реа</w:t>
      </w:r>
      <w:r w:rsidR="00302C1A" w:rsidRPr="00302C1A">
        <w:rPr>
          <w:rFonts w:ascii="PT Astra Serif" w:hAnsi="PT Astra Serif" w:cs="Times New Roman"/>
          <w:bCs/>
          <w:iCs/>
          <w:sz w:val="28"/>
          <w:szCs w:val="28"/>
        </w:rPr>
        <w:t>лизации муниципальной программы</w:t>
      </w:r>
    </w:p>
    <w:tbl>
      <w:tblPr>
        <w:tblW w:w="90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735"/>
        <w:gridCol w:w="640"/>
        <w:gridCol w:w="1505"/>
        <w:gridCol w:w="1283"/>
        <w:gridCol w:w="1168"/>
        <w:gridCol w:w="1283"/>
      </w:tblGrid>
      <w:tr w:rsidR="00302C1A" w:rsidRPr="00302C1A" w14:paraId="2B19D491" w14:textId="77777777" w:rsidTr="00302C1A">
        <w:trPr>
          <w:trHeight w:val="119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483F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№ п/п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7CC5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649EA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Ед. измер.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E6043" w14:textId="48F0A9CD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Плановое значение показателя</w:t>
            </w:r>
          </w:p>
          <w:p w14:paraId="55CFC467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в 2022 году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89FF" w14:textId="53AEF3CA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Фактическое значение показателя</w:t>
            </w:r>
          </w:p>
          <w:p w14:paraId="28F0C8AA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на 01.</w:t>
            </w:r>
            <w:r w:rsidRPr="00302C1A">
              <w:rPr>
                <w:rFonts w:ascii="PT Astra Serif" w:hAnsi="PT Astra Serif" w:cs="Times New Roman"/>
                <w:sz w:val="20"/>
                <w:lang w:val="en-US"/>
              </w:rPr>
              <w:t>10.</w:t>
            </w:r>
            <w:r w:rsidRPr="00302C1A">
              <w:rPr>
                <w:rFonts w:ascii="PT Astra Serif" w:hAnsi="PT Astra Serif" w:cs="Times New Roman"/>
                <w:sz w:val="20"/>
              </w:rPr>
              <w:t>2022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F11C" w14:textId="79CB6FCF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Исполнение</w:t>
            </w:r>
          </w:p>
          <w:p w14:paraId="4784805C" w14:textId="0C8D59D4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за отчетный период</w:t>
            </w:r>
          </w:p>
          <w:p w14:paraId="413D244F" w14:textId="25BBD6C9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от плана на год, %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6D133" w14:textId="322B9C69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Ожидаемое исполнения</w:t>
            </w:r>
          </w:p>
          <w:p w14:paraId="57B47DF3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за 2022 год</w:t>
            </w:r>
          </w:p>
        </w:tc>
      </w:tr>
      <w:tr w:rsidR="00302C1A" w:rsidRPr="00302C1A" w14:paraId="5BD138B1" w14:textId="77777777" w:rsidTr="00302C1A">
        <w:trPr>
          <w:trHeight w:val="189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C76BA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6BF4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33D4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E0ABB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E830C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63868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A779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</w:tr>
      <w:tr w:rsidR="00302C1A" w:rsidRPr="00302C1A" w14:paraId="190A814C" w14:textId="77777777" w:rsidTr="00302C1A">
        <w:trPr>
          <w:trHeight w:val="70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8D299" w14:textId="4E1C353F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D81A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Количество рабочих мест, обеспеченных программным продуктом для участия в электронном документообороте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30D8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единиц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884F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750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4797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751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566AA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100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0566F" w14:textId="77777777" w:rsidR="00302C1A" w:rsidRPr="00302C1A" w:rsidRDefault="00302C1A" w:rsidP="00302C1A">
            <w:pPr>
              <w:jc w:val="center"/>
              <w:rPr>
                <w:rFonts w:ascii="PT Astra Serif" w:hAnsi="PT Astra Serif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100</w:t>
            </w:r>
          </w:p>
        </w:tc>
      </w:tr>
      <w:tr w:rsidR="00302C1A" w:rsidRPr="00302C1A" w14:paraId="0B0D0511" w14:textId="77777777" w:rsidTr="00302C1A">
        <w:trPr>
          <w:trHeight w:val="956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FD60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2.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31A1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Обеспечение защиты аттестованных муниципальных информационных систем персональных данных по требованиям защиты информации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BA96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единиц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2092D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C06A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10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07DC4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100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D18C" w14:textId="77777777" w:rsidR="00302C1A" w:rsidRPr="00302C1A" w:rsidRDefault="00302C1A" w:rsidP="00302C1A">
            <w:pPr>
              <w:jc w:val="center"/>
              <w:rPr>
                <w:rFonts w:ascii="PT Astra Serif" w:hAnsi="PT Astra Serif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100</w:t>
            </w:r>
          </w:p>
        </w:tc>
      </w:tr>
      <w:tr w:rsidR="00302C1A" w:rsidRPr="00302C1A" w14:paraId="5785989A" w14:textId="77777777" w:rsidTr="00302C1A">
        <w:trPr>
          <w:trHeight w:val="1175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0843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3.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B6D3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973D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%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9F028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&gt;70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DEB7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302C1A">
              <w:rPr>
                <w:rFonts w:ascii="PT Astra Serif" w:hAnsi="PT Astra Serif" w:cs="Times New Roman"/>
                <w:sz w:val="20"/>
                <w:lang w:val="en-US"/>
              </w:rPr>
              <w:t>100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BE17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302C1A">
              <w:rPr>
                <w:rFonts w:ascii="PT Astra Serif" w:hAnsi="PT Astra Serif" w:cs="Times New Roman"/>
                <w:sz w:val="20"/>
                <w:lang w:val="en-US"/>
              </w:rPr>
              <w:t>100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35E41" w14:textId="77777777" w:rsidR="00302C1A" w:rsidRPr="00302C1A" w:rsidRDefault="00302C1A" w:rsidP="00302C1A">
            <w:pPr>
              <w:jc w:val="center"/>
              <w:rPr>
                <w:rFonts w:ascii="PT Astra Serif" w:hAnsi="PT Astra Serif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100</w:t>
            </w:r>
          </w:p>
        </w:tc>
      </w:tr>
      <w:tr w:rsidR="00302C1A" w:rsidRPr="00302C1A" w14:paraId="64747B22" w14:textId="77777777" w:rsidTr="00302C1A">
        <w:trPr>
          <w:trHeight w:val="97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3718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lastRenderedPageBreak/>
              <w:t>4.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63D2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Доля государственных и муниципальных услуг, предоставляемых в электронном виде, от общего числа государственных и муниципальных услуг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296F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%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65F5E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&gt;60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5D09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302C1A">
              <w:rPr>
                <w:rFonts w:ascii="PT Astra Serif" w:hAnsi="PT Astra Serif" w:cs="Times New Roman"/>
                <w:sz w:val="20"/>
                <w:lang w:val="en-US"/>
              </w:rPr>
              <w:t>58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EEB79" w14:textId="77777777" w:rsidR="00302C1A" w:rsidRPr="00302C1A" w:rsidRDefault="00302C1A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302C1A">
              <w:rPr>
                <w:rFonts w:ascii="PT Astra Serif" w:hAnsi="PT Astra Serif" w:cs="Times New Roman"/>
                <w:sz w:val="20"/>
                <w:lang w:val="en-US"/>
              </w:rPr>
              <w:t>96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6C8E" w14:textId="77777777" w:rsidR="00302C1A" w:rsidRPr="00302C1A" w:rsidRDefault="00302C1A" w:rsidP="00302C1A">
            <w:pPr>
              <w:jc w:val="center"/>
              <w:rPr>
                <w:rFonts w:ascii="PT Astra Serif" w:hAnsi="PT Astra Serif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100</w:t>
            </w:r>
          </w:p>
        </w:tc>
      </w:tr>
    </w:tbl>
    <w:p w14:paraId="6F8350D2" w14:textId="77777777" w:rsidR="0019218A" w:rsidRPr="00302C1A" w:rsidRDefault="0019218A" w:rsidP="0019218A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14:paraId="6451F21A" w14:textId="7D69F7AB" w:rsidR="005307E4" w:rsidRPr="00302C1A" w:rsidRDefault="005307E4" w:rsidP="008A795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</w:p>
    <w:p w14:paraId="43FA4878" w14:textId="2CD0C18F" w:rsidR="005307E4" w:rsidRPr="00302C1A" w:rsidRDefault="005307E4" w:rsidP="008A795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</w:p>
    <w:p w14:paraId="3B43BAFC" w14:textId="77777777" w:rsidR="006875CC" w:rsidRPr="00302C1A" w:rsidRDefault="006875CC" w:rsidP="006875CC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66F5845E" w14:textId="7541FF23" w:rsidR="005307E4" w:rsidRPr="00302C1A" w:rsidRDefault="006875CC" w:rsidP="006875CC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302C1A">
        <w:rPr>
          <w:rFonts w:ascii="PT Astra Serif" w:hAnsi="PT Astra Serif" w:cs="Times New Roman"/>
          <w:sz w:val="28"/>
          <w:szCs w:val="28"/>
        </w:rPr>
        <w:t>К.Р.Минулин</w:t>
      </w:r>
    </w:p>
    <w:p w14:paraId="7FE5CAFC" w14:textId="2DA92DB1" w:rsidR="00353FE7" w:rsidRPr="00302C1A" w:rsidRDefault="00353FE7" w:rsidP="006875CC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4E4ABACA" w14:textId="4D348BD3" w:rsidR="00353FE7" w:rsidRPr="00302C1A" w:rsidRDefault="00353FE7" w:rsidP="006875CC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14:paraId="73E50D4B" w14:textId="77777777" w:rsidR="00720FEC" w:rsidRPr="00302C1A" w:rsidRDefault="00720FEC" w:rsidP="006875CC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14:paraId="0954EB16" w14:textId="19CB552E" w:rsidR="005307E4" w:rsidRPr="00302C1A" w:rsidRDefault="005307E4" w:rsidP="003C6F31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</w:rPr>
      </w:pPr>
    </w:p>
    <w:p w14:paraId="7EC36A70" w14:textId="77777777" w:rsidR="00353FE7" w:rsidRPr="00302C1A" w:rsidRDefault="00353FE7" w:rsidP="00353FE7">
      <w:pPr>
        <w:shd w:val="clear" w:color="auto" w:fill="FFFFFF"/>
        <w:spacing w:after="0" w:line="240" w:lineRule="auto"/>
        <w:rPr>
          <w:rFonts w:ascii="PT Astra Serif" w:hAnsi="PT Astra Serif" w:cs="Times New Roman"/>
          <w:bCs/>
          <w:sz w:val="20"/>
          <w:szCs w:val="20"/>
        </w:rPr>
      </w:pPr>
    </w:p>
    <w:p w14:paraId="686B7DA3" w14:textId="654F6942" w:rsidR="00353FE7" w:rsidRPr="00302C1A" w:rsidRDefault="00353FE7" w:rsidP="00353FE7">
      <w:pPr>
        <w:shd w:val="clear" w:color="auto" w:fill="FFFFFF"/>
        <w:spacing w:after="0" w:line="240" w:lineRule="auto"/>
        <w:rPr>
          <w:rFonts w:ascii="PT Astra Serif" w:hAnsi="PT Astra Serif" w:cs="Times New Roman"/>
          <w:bCs/>
          <w:sz w:val="20"/>
          <w:szCs w:val="20"/>
        </w:rPr>
      </w:pPr>
    </w:p>
    <w:p w14:paraId="3285F8D8" w14:textId="77777777" w:rsidR="00720FEC" w:rsidRPr="00302C1A" w:rsidRDefault="00720FEC" w:rsidP="00353FE7">
      <w:pPr>
        <w:shd w:val="clear" w:color="auto" w:fill="FFFFFF"/>
        <w:spacing w:after="0" w:line="240" w:lineRule="auto"/>
        <w:rPr>
          <w:rFonts w:ascii="PT Astra Serif" w:hAnsi="PT Astra Serif" w:cs="Times New Roman"/>
          <w:bCs/>
          <w:sz w:val="20"/>
          <w:szCs w:val="20"/>
        </w:rPr>
      </w:pPr>
      <w:bookmarkStart w:id="0" w:name="_GoBack"/>
      <w:bookmarkEnd w:id="0"/>
    </w:p>
    <w:p w14:paraId="1E66D181" w14:textId="6980110F" w:rsidR="00353FE7" w:rsidRPr="00302C1A" w:rsidRDefault="00353FE7" w:rsidP="00353FE7">
      <w:pPr>
        <w:shd w:val="clear" w:color="auto" w:fill="FFFFFF"/>
        <w:spacing w:after="0" w:line="240" w:lineRule="auto"/>
        <w:rPr>
          <w:rFonts w:ascii="PT Astra Serif" w:hAnsi="PT Astra Serif" w:cs="Times New Roman"/>
          <w:bCs/>
          <w:sz w:val="20"/>
          <w:szCs w:val="20"/>
        </w:rPr>
      </w:pPr>
    </w:p>
    <w:p w14:paraId="711B6C6D" w14:textId="441B74BA" w:rsidR="00353FE7" w:rsidRPr="00302C1A" w:rsidRDefault="00353FE7" w:rsidP="00353FE7">
      <w:pPr>
        <w:shd w:val="clear" w:color="auto" w:fill="FFFFFF"/>
        <w:spacing w:after="0" w:line="240" w:lineRule="auto"/>
        <w:rPr>
          <w:rFonts w:ascii="PT Astra Serif" w:hAnsi="PT Astra Serif" w:cs="Times New Roman"/>
          <w:bCs/>
          <w:sz w:val="20"/>
          <w:szCs w:val="20"/>
        </w:rPr>
      </w:pPr>
    </w:p>
    <w:p w14:paraId="6C59E965" w14:textId="77777777" w:rsidR="00353FE7" w:rsidRPr="00302C1A" w:rsidRDefault="00353FE7" w:rsidP="00353FE7">
      <w:pPr>
        <w:shd w:val="clear" w:color="auto" w:fill="FFFFFF"/>
        <w:spacing w:after="0" w:line="240" w:lineRule="auto"/>
        <w:rPr>
          <w:rFonts w:ascii="PT Astra Serif" w:hAnsi="PT Astra Serif" w:cs="Times New Roman"/>
          <w:bCs/>
          <w:sz w:val="20"/>
          <w:szCs w:val="20"/>
        </w:rPr>
      </w:pPr>
    </w:p>
    <w:p w14:paraId="530F289C" w14:textId="77777777" w:rsidR="00353FE7" w:rsidRPr="00302C1A" w:rsidRDefault="00353FE7" w:rsidP="00353FE7">
      <w:pPr>
        <w:spacing w:after="0" w:line="240" w:lineRule="auto"/>
        <w:jc w:val="both"/>
        <w:rPr>
          <w:rFonts w:ascii="PT Astra Serif" w:eastAsia="Calibri" w:hAnsi="PT Astra Serif"/>
          <w:sz w:val="20"/>
          <w:szCs w:val="20"/>
        </w:rPr>
      </w:pPr>
      <w:r w:rsidRPr="00302C1A">
        <w:rPr>
          <w:rFonts w:ascii="PT Astra Serif" w:eastAsia="Calibri" w:hAnsi="PT Astra Serif"/>
          <w:sz w:val="20"/>
          <w:szCs w:val="20"/>
        </w:rPr>
        <w:t>Исполнитель:</w:t>
      </w:r>
    </w:p>
    <w:p w14:paraId="0795D6D2" w14:textId="77777777" w:rsidR="00353FE7" w:rsidRPr="00302C1A" w:rsidRDefault="00353FE7" w:rsidP="00353FE7">
      <w:pPr>
        <w:spacing w:after="0" w:line="240" w:lineRule="auto"/>
        <w:jc w:val="both"/>
        <w:rPr>
          <w:rFonts w:ascii="PT Astra Serif" w:eastAsia="Calibri" w:hAnsi="PT Astra Serif"/>
          <w:sz w:val="20"/>
          <w:szCs w:val="20"/>
        </w:rPr>
      </w:pPr>
      <w:r w:rsidRPr="00302C1A">
        <w:rPr>
          <w:rFonts w:ascii="PT Astra Serif" w:eastAsia="Calibri" w:hAnsi="PT Astra Serif"/>
          <w:sz w:val="20"/>
          <w:szCs w:val="20"/>
        </w:rPr>
        <w:t>начальник управления</w:t>
      </w:r>
    </w:p>
    <w:p w14:paraId="1A5EEA38" w14:textId="77777777" w:rsidR="00353FE7" w:rsidRPr="00302C1A" w:rsidRDefault="00353FE7" w:rsidP="00353FE7">
      <w:pPr>
        <w:spacing w:after="0" w:line="240" w:lineRule="auto"/>
        <w:jc w:val="both"/>
        <w:rPr>
          <w:rFonts w:ascii="PT Astra Serif" w:eastAsia="Calibri" w:hAnsi="PT Astra Serif"/>
          <w:sz w:val="20"/>
          <w:szCs w:val="20"/>
        </w:rPr>
      </w:pPr>
      <w:r w:rsidRPr="00302C1A">
        <w:rPr>
          <w:rFonts w:ascii="PT Astra Serif" w:eastAsia="Calibri" w:hAnsi="PT Astra Serif"/>
          <w:sz w:val="20"/>
          <w:szCs w:val="20"/>
        </w:rPr>
        <w:t>по информационным технологиям</w:t>
      </w:r>
    </w:p>
    <w:p w14:paraId="464C1519" w14:textId="77777777" w:rsidR="00353FE7" w:rsidRPr="00302C1A" w:rsidRDefault="00353FE7" w:rsidP="00353FE7">
      <w:pPr>
        <w:spacing w:after="0" w:line="240" w:lineRule="auto"/>
        <w:jc w:val="both"/>
        <w:rPr>
          <w:rFonts w:ascii="PT Astra Serif" w:eastAsia="Calibri" w:hAnsi="PT Astra Serif"/>
          <w:sz w:val="20"/>
          <w:szCs w:val="20"/>
        </w:rPr>
      </w:pPr>
      <w:r w:rsidRPr="00302C1A">
        <w:rPr>
          <w:rFonts w:ascii="PT Astra Serif" w:eastAsia="Calibri" w:hAnsi="PT Astra Serif"/>
          <w:sz w:val="20"/>
          <w:szCs w:val="20"/>
        </w:rPr>
        <w:t>Новицкий Вадим Олегович</w:t>
      </w:r>
    </w:p>
    <w:p w14:paraId="288F834E" w14:textId="58A85793" w:rsidR="005307E4" w:rsidRPr="00302C1A" w:rsidRDefault="00353FE7" w:rsidP="00720FEC">
      <w:pPr>
        <w:spacing w:after="0" w:line="240" w:lineRule="auto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302C1A">
        <w:rPr>
          <w:rFonts w:ascii="PT Astra Serif" w:eastAsia="Calibri" w:hAnsi="PT Astra Serif"/>
          <w:sz w:val="20"/>
          <w:szCs w:val="20"/>
        </w:rPr>
        <w:t>тел: (3467) 35-28-88</w:t>
      </w:r>
    </w:p>
    <w:sectPr w:rsidR="005307E4" w:rsidRPr="00302C1A" w:rsidSect="0082275F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7EDF" w14:textId="77777777" w:rsidR="006A2726" w:rsidRDefault="006A2726" w:rsidP="00617B40">
      <w:pPr>
        <w:spacing w:after="0" w:line="240" w:lineRule="auto"/>
      </w:pPr>
      <w:r>
        <w:separator/>
      </w:r>
    </w:p>
  </w:endnote>
  <w:endnote w:type="continuationSeparator" w:id="0">
    <w:p w14:paraId="688557D3" w14:textId="77777777" w:rsidR="006A2726" w:rsidRDefault="006A272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E1728" w14:textId="77777777" w:rsidR="006A2726" w:rsidRDefault="006A2726" w:rsidP="00617B40">
      <w:pPr>
        <w:spacing w:after="0" w:line="240" w:lineRule="auto"/>
      </w:pPr>
      <w:r>
        <w:separator/>
      </w:r>
    </w:p>
  </w:footnote>
  <w:footnote w:type="continuationSeparator" w:id="0">
    <w:p w14:paraId="5EBE75F9" w14:textId="77777777" w:rsidR="006A2726" w:rsidRDefault="006A272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530"/>
    <w:multiLevelType w:val="hybridMultilevel"/>
    <w:tmpl w:val="EAE03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E84C89"/>
    <w:multiLevelType w:val="multilevel"/>
    <w:tmpl w:val="D3CA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 w15:restartNumberingAfterBreak="0">
    <w:nsid w:val="65C042D7"/>
    <w:multiLevelType w:val="hybridMultilevel"/>
    <w:tmpl w:val="C4BE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64F"/>
    <w:multiLevelType w:val="multilevel"/>
    <w:tmpl w:val="5D06324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167"/>
    <w:rsid w:val="00007D87"/>
    <w:rsid w:val="00012153"/>
    <w:rsid w:val="00031DC5"/>
    <w:rsid w:val="000334AC"/>
    <w:rsid w:val="00050DCB"/>
    <w:rsid w:val="000553F6"/>
    <w:rsid w:val="00072CC1"/>
    <w:rsid w:val="0009016C"/>
    <w:rsid w:val="0009485B"/>
    <w:rsid w:val="00094BD5"/>
    <w:rsid w:val="00094C89"/>
    <w:rsid w:val="000A20DE"/>
    <w:rsid w:val="000B30E4"/>
    <w:rsid w:val="000B4C48"/>
    <w:rsid w:val="000B6BD3"/>
    <w:rsid w:val="000C115E"/>
    <w:rsid w:val="000C326A"/>
    <w:rsid w:val="000E2AD9"/>
    <w:rsid w:val="000F242D"/>
    <w:rsid w:val="00113D3B"/>
    <w:rsid w:val="001322C7"/>
    <w:rsid w:val="00150967"/>
    <w:rsid w:val="00161B24"/>
    <w:rsid w:val="00167936"/>
    <w:rsid w:val="0017605D"/>
    <w:rsid w:val="00177A78"/>
    <w:rsid w:val="00182B80"/>
    <w:rsid w:val="001847D2"/>
    <w:rsid w:val="0018600B"/>
    <w:rsid w:val="00186A59"/>
    <w:rsid w:val="0019218A"/>
    <w:rsid w:val="001C501B"/>
    <w:rsid w:val="001C5C3F"/>
    <w:rsid w:val="001F0AA9"/>
    <w:rsid w:val="00214DDE"/>
    <w:rsid w:val="0021693B"/>
    <w:rsid w:val="00225C7D"/>
    <w:rsid w:val="002300FD"/>
    <w:rsid w:val="00234040"/>
    <w:rsid w:val="002529F0"/>
    <w:rsid w:val="00261D49"/>
    <w:rsid w:val="00265760"/>
    <w:rsid w:val="00280163"/>
    <w:rsid w:val="00297A80"/>
    <w:rsid w:val="002A75A0"/>
    <w:rsid w:val="002D0994"/>
    <w:rsid w:val="00301280"/>
    <w:rsid w:val="00302C1A"/>
    <w:rsid w:val="0031257A"/>
    <w:rsid w:val="0032420F"/>
    <w:rsid w:val="00343BF0"/>
    <w:rsid w:val="00343FF5"/>
    <w:rsid w:val="00353FE7"/>
    <w:rsid w:val="003624D8"/>
    <w:rsid w:val="00393DAD"/>
    <w:rsid w:val="00397EFC"/>
    <w:rsid w:val="003C6F31"/>
    <w:rsid w:val="003D1875"/>
    <w:rsid w:val="003F2416"/>
    <w:rsid w:val="003F3603"/>
    <w:rsid w:val="00404BE7"/>
    <w:rsid w:val="00407159"/>
    <w:rsid w:val="00417101"/>
    <w:rsid w:val="004174E3"/>
    <w:rsid w:val="00422070"/>
    <w:rsid w:val="00431272"/>
    <w:rsid w:val="00431674"/>
    <w:rsid w:val="004333EE"/>
    <w:rsid w:val="0044500A"/>
    <w:rsid w:val="00465FC6"/>
    <w:rsid w:val="0048725D"/>
    <w:rsid w:val="004B28BF"/>
    <w:rsid w:val="004C069C"/>
    <w:rsid w:val="004C7125"/>
    <w:rsid w:val="004F72DA"/>
    <w:rsid w:val="004F7CDE"/>
    <w:rsid w:val="00514E41"/>
    <w:rsid w:val="005307E4"/>
    <w:rsid w:val="00532CA8"/>
    <w:rsid w:val="005439BD"/>
    <w:rsid w:val="00546107"/>
    <w:rsid w:val="0056694C"/>
    <w:rsid w:val="00572453"/>
    <w:rsid w:val="005A012C"/>
    <w:rsid w:val="005A66B0"/>
    <w:rsid w:val="005B2935"/>
    <w:rsid w:val="005B7083"/>
    <w:rsid w:val="005C2E3B"/>
    <w:rsid w:val="005C352A"/>
    <w:rsid w:val="005D2C0D"/>
    <w:rsid w:val="005F0864"/>
    <w:rsid w:val="00604B92"/>
    <w:rsid w:val="0060651B"/>
    <w:rsid w:val="00617B40"/>
    <w:rsid w:val="00621222"/>
    <w:rsid w:val="0062166C"/>
    <w:rsid w:val="00623C81"/>
    <w:rsid w:val="00624276"/>
    <w:rsid w:val="00624F8D"/>
    <w:rsid w:val="00626321"/>
    <w:rsid w:val="00636F28"/>
    <w:rsid w:val="00637CA5"/>
    <w:rsid w:val="00655734"/>
    <w:rsid w:val="006615CF"/>
    <w:rsid w:val="006722F9"/>
    <w:rsid w:val="00681141"/>
    <w:rsid w:val="006875CC"/>
    <w:rsid w:val="006A2726"/>
    <w:rsid w:val="006A5B30"/>
    <w:rsid w:val="006B1282"/>
    <w:rsid w:val="006B7FA1"/>
    <w:rsid w:val="006C37AF"/>
    <w:rsid w:val="006C6EC8"/>
    <w:rsid w:val="006C77B8"/>
    <w:rsid w:val="006D18AE"/>
    <w:rsid w:val="006D495B"/>
    <w:rsid w:val="006F6C57"/>
    <w:rsid w:val="00720FEC"/>
    <w:rsid w:val="007343BF"/>
    <w:rsid w:val="00752910"/>
    <w:rsid w:val="0077481C"/>
    <w:rsid w:val="0079598D"/>
    <w:rsid w:val="007A0722"/>
    <w:rsid w:val="007B57CB"/>
    <w:rsid w:val="007C5828"/>
    <w:rsid w:val="007C61E7"/>
    <w:rsid w:val="007D4616"/>
    <w:rsid w:val="007D7C8D"/>
    <w:rsid w:val="007F0D84"/>
    <w:rsid w:val="00805A4C"/>
    <w:rsid w:val="008119C8"/>
    <w:rsid w:val="0082275F"/>
    <w:rsid w:val="00822F9D"/>
    <w:rsid w:val="00827A88"/>
    <w:rsid w:val="008459BB"/>
    <w:rsid w:val="00877895"/>
    <w:rsid w:val="00883D46"/>
    <w:rsid w:val="00886731"/>
    <w:rsid w:val="00887852"/>
    <w:rsid w:val="00897CB6"/>
    <w:rsid w:val="008A7957"/>
    <w:rsid w:val="008C2ACB"/>
    <w:rsid w:val="008C47CF"/>
    <w:rsid w:val="008D2128"/>
    <w:rsid w:val="008D6252"/>
    <w:rsid w:val="008E4601"/>
    <w:rsid w:val="00903CF1"/>
    <w:rsid w:val="00915F33"/>
    <w:rsid w:val="00927695"/>
    <w:rsid w:val="00933810"/>
    <w:rsid w:val="00946570"/>
    <w:rsid w:val="0096338B"/>
    <w:rsid w:val="0097690F"/>
    <w:rsid w:val="0097699E"/>
    <w:rsid w:val="00984E65"/>
    <w:rsid w:val="009917B5"/>
    <w:rsid w:val="009A231B"/>
    <w:rsid w:val="009C0855"/>
    <w:rsid w:val="009C1751"/>
    <w:rsid w:val="009F6EC2"/>
    <w:rsid w:val="00A14960"/>
    <w:rsid w:val="00A26C4F"/>
    <w:rsid w:val="00A324CD"/>
    <w:rsid w:val="00A33D50"/>
    <w:rsid w:val="00A52AAD"/>
    <w:rsid w:val="00A915FB"/>
    <w:rsid w:val="00AC16A7"/>
    <w:rsid w:val="00AC194A"/>
    <w:rsid w:val="00AD697A"/>
    <w:rsid w:val="00B0009B"/>
    <w:rsid w:val="00B04CA0"/>
    <w:rsid w:val="00B14B45"/>
    <w:rsid w:val="00B17E67"/>
    <w:rsid w:val="00B2079F"/>
    <w:rsid w:val="00B2259C"/>
    <w:rsid w:val="00B230DD"/>
    <w:rsid w:val="00B45F61"/>
    <w:rsid w:val="00B53A62"/>
    <w:rsid w:val="00B626AF"/>
    <w:rsid w:val="00B76CD1"/>
    <w:rsid w:val="00B8051F"/>
    <w:rsid w:val="00B81A2D"/>
    <w:rsid w:val="00BA3388"/>
    <w:rsid w:val="00BB611F"/>
    <w:rsid w:val="00BB6639"/>
    <w:rsid w:val="00BD7642"/>
    <w:rsid w:val="00BE2AF4"/>
    <w:rsid w:val="00BF262A"/>
    <w:rsid w:val="00C002B4"/>
    <w:rsid w:val="00C16253"/>
    <w:rsid w:val="00C21D1F"/>
    <w:rsid w:val="00C239F1"/>
    <w:rsid w:val="00C30DB7"/>
    <w:rsid w:val="00C36F0C"/>
    <w:rsid w:val="00C36F5A"/>
    <w:rsid w:val="00C51F70"/>
    <w:rsid w:val="00C6039F"/>
    <w:rsid w:val="00C6117E"/>
    <w:rsid w:val="00C671C6"/>
    <w:rsid w:val="00C712CA"/>
    <w:rsid w:val="00C7412C"/>
    <w:rsid w:val="00C91363"/>
    <w:rsid w:val="00CA7141"/>
    <w:rsid w:val="00CC5DFC"/>
    <w:rsid w:val="00CC7C2A"/>
    <w:rsid w:val="00CD3CE9"/>
    <w:rsid w:val="00CD7743"/>
    <w:rsid w:val="00CE27E3"/>
    <w:rsid w:val="00CF3794"/>
    <w:rsid w:val="00CF44D0"/>
    <w:rsid w:val="00CF744D"/>
    <w:rsid w:val="00D007DF"/>
    <w:rsid w:val="00D153FB"/>
    <w:rsid w:val="00D155CC"/>
    <w:rsid w:val="00D20948"/>
    <w:rsid w:val="00D213D8"/>
    <w:rsid w:val="00D22C2F"/>
    <w:rsid w:val="00D22F07"/>
    <w:rsid w:val="00D25124"/>
    <w:rsid w:val="00D26095"/>
    <w:rsid w:val="00D43162"/>
    <w:rsid w:val="00D4701F"/>
    <w:rsid w:val="00D53054"/>
    <w:rsid w:val="00D64FB3"/>
    <w:rsid w:val="00D65E97"/>
    <w:rsid w:val="00D768D7"/>
    <w:rsid w:val="00D76C47"/>
    <w:rsid w:val="00D8061E"/>
    <w:rsid w:val="00D927F7"/>
    <w:rsid w:val="00DB032D"/>
    <w:rsid w:val="00DB7A4A"/>
    <w:rsid w:val="00DC0388"/>
    <w:rsid w:val="00DE12FA"/>
    <w:rsid w:val="00E020E1"/>
    <w:rsid w:val="00E024DC"/>
    <w:rsid w:val="00E05238"/>
    <w:rsid w:val="00E05262"/>
    <w:rsid w:val="00E26486"/>
    <w:rsid w:val="00E35131"/>
    <w:rsid w:val="00E516F7"/>
    <w:rsid w:val="00E55882"/>
    <w:rsid w:val="00E624C3"/>
    <w:rsid w:val="00E65318"/>
    <w:rsid w:val="00EA36BD"/>
    <w:rsid w:val="00ED01A2"/>
    <w:rsid w:val="00ED123C"/>
    <w:rsid w:val="00EF214F"/>
    <w:rsid w:val="00F114E8"/>
    <w:rsid w:val="00F155DA"/>
    <w:rsid w:val="00F17A82"/>
    <w:rsid w:val="00F262C9"/>
    <w:rsid w:val="00F27B64"/>
    <w:rsid w:val="00F449DF"/>
    <w:rsid w:val="00F54F00"/>
    <w:rsid w:val="00F55E37"/>
    <w:rsid w:val="00F60096"/>
    <w:rsid w:val="00F64E07"/>
    <w:rsid w:val="00F667C2"/>
    <w:rsid w:val="00F66B81"/>
    <w:rsid w:val="00F67E3D"/>
    <w:rsid w:val="00F765C7"/>
    <w:rsid w:val="00FA4CF5"/>
    <w:rsid w:val="00FB7756"/>
    <w:rsid w:val="00FC3FBE"/>
    <w:rsid w:val="00FC6344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5A6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214DDE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0C115E"/>
  </w:style>
  <w:style w:type="paragraph" w:styleId="af">
    <w:name w:val="List Paragraph"/>
    <w:basedOn w:val="a"/>
    <w:uiPriority w:val="34"/>
    <w:qFormat/>
    <w:rsid w:val="00094BD5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link w:val="ConsPlusNormal0"/>
    <w:rsid w:val="00192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2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218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E143-71B0-4D90-92AE-13CA77F9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2022-01-20T09:01:00Z</dcterms:created>
  <dcterms:modified xsi:type="dcterms:W3CDTF">2022-10-11T04:13:00Z</dcterms:modified>
</cp:coreProperties>
</file>